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32F86" w14:textId="1E69E0CC" w:rsidR="00221940" w:rsidRPr="00702B0E" w:rsidRDefault="00D01046">
      <w:pPr>
        <w:rPr>
          <w:b/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ab/>
      </w:r>
      <w:r w:rsidRPr="00702B0E">
        <w:rPr>
          <w:sz w:val="24"/>
          <w:szCs w:val="24"/>
          <w:lang w:val="ro-RO"/>
        </w:rPr>
        <w:tab/>
      </w:r>
      <w:r w:rsidRPr="00702B0E">
        <w:rPr>
          <w:sz w:val="24"/>
          <w:szCs w:val="24"/>
          <w:lang w:val="ro-RO"/>
        </w:rPr>
        <w:tab/>
      </w:r>
      <w:r w:rsidRPr="00702B0E">
        <w:rPr>
          <w:sz w:val="24"/>
          <w:szCs w:val="24"/>
          <w:lang w:val="ro-RO"/>
        </w:rPr>
        <w:tab/>
      </w:r>
      <w:r w:rsidR="00E649DD" w:rsidRPr="00702B0E">
        <w:rPr>
          <w:b/>
          <w:sz w:val="24"/>
          <w:szCs w:val="24"/>
          <w:lang w:val="ro-RO"/>
        </w:rPr>
        <w:t xml:space="preserve">ANALIZA </w:t>
      </w:r>
      <w:r w:rsidR="0047460E" w:rsidRPr="00702B0E">
        <w:rPr>
          <w:b/>
          <w:sz w:val="24"/>
          <w:szCs w:val="24"/>
          <w:lang w:val="ro-RO"/>
        </w:rPr>
        <w:t>NORME</w:t>
      </w:r>
      <w:r w:rsidR="00702B0E" w:rsidRPr="00702B0E">
        <w:rPr>
          <w:b/>
          <w:sz w:val="24"/>
          <w:szCs w:val="24"/>
          <w:lang w:val="ro-RO"/>
        </w:rPr>
        <w:t>LOR</w:t>
      </w:r>
      <w:r w:rsidR="0047460E" w:rsidRPr="00702B0E">
        <w:rPr>
          <w:b/>
          <w:sz w:val="24"/>
          <w:szCs w:val="24"/>
          <w:lang w:val="ro-RO"/>
        </w:rPr>
        <w:t xml:space="preserve"> DIDACTICE</w:t>
      </w:r>
    </w:p>
    <w:p w14:paraId="1EDD2A02" w14:textId="25A147F9" w:rsidR="00D01046" w:rsidRPr="00702B0E" w:rsidRDefault="00D01046">
      <w:pPr>
        <w:rPr>
          <w:sz w:val="24"/>
          <w:szCs w:val="24"/>
          <w:lang w:val="ro-RO"/>
        </w:rPr>
      </w:pPr>
    </w:p>
    <w:p w14:paraId="0403EF03" w14:textId="42D48F93" w:rsidR="00E649DD" w:rsidRPr="00702B0E" w:rsidRDefault="0047460E" w:rsidP="00E649DD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ab/>
      </w:r>
      <w:r w:rsidR="00E649DD" w:rsidRPr="00702B0E">
        <w:rPr>
          <w:sz w:val="24"/>
          <w:szCs w:val="24"/>
          <w:lang w:val="ro-RO"/>
        </w:rPr>
        <w:t xml:space="preserve">Obiectivul </w:t>
      </w:r>
      <w:r w:rsidR="00E649DD" w:rsidRPr="00702B0E">
        <w:rPr>
          <w:sz w:val="24"/>
          <w:szCs w:val="24"/>
          <w:lang w:val="ro-RO"/>
        </w:rPr>
        <w:t>analizei</w:t>
      </w:r>
      <w:r w:rsidR="00E649DD" w:rsidRPr="00702B0E">
        <w:rPr>
          <w:sz w:val="24"/>
          <w:szCs w:val="24"/>
          <w:lang w:val="ro-RO"/>
        </w:rPr>
        <w:t xml:space="preserve"> consta in determinarea fracțiunilor totale de norme didactice necesare pentru o anumita specializare, defalcat pe grade didactice. </w:t>
      </w:r>
    </w:p>
    <w:p w14:paraId="5E8734DD" w14:textId="696AFE38" w:rsidR="00E649DD" w:rsidRPr="00702B0E" w:rsidRDefault="0047460E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 xml:space="preserve">Analiza </w:t>
      </w:r>
      <w:r w:rsidR="00702B0E" w:rsidRPr="00702B0E">
        <w:rPr>
          <w:sz w:val="24"/>
          <w:szCs w:val="24"/>
          <w:lang w:val="ro-RO"/>
        </w:rPr>
        <w:t>pleacă</w:t>
      </w:r>
      <w:r w:rsidR="00E649DD" w:rsidRPr="00702B0E">
        <w:rPr>
          <w:sz w:val="24"/>
          <w:szCs w:val="24"/>
          <w:lang w:val="ro-RO"/>
        </w:rPr>
        <w:t xml:space="preserve"> de la PLANUL DE INVATAMINT si poate fi considerat o extensia a acestuia. </w:t>
      </w:r>
    </w:p>
    <w:p w14:paraId="7DC9C892" w14:textId="74D93646" w:rsidR="00D01046" w:rsidRPr="00702B0E" w:rsidRDefault="00893388" w:rsidP="002526DB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ab/>
      </w:r>
      <w:r w:rsidR="00D01046" w:rsidRPr="00702B0E">
        <w:rPr>
          <w:sz w:val="24"/>
          <w:szCs w:val="24"/>
          <w:lang w:val="ro-RO"/>
        </w:rPr>
        <w:t>Deoarece fluctuația cadrelor didactice de la un an universitar la altul este mult mai mare decât rata de modificare a PLANULUI DE INVATAMINT s-a</w:t>
      </w:r>
      <w:r w:rsidR="002526DB" w:rsidRPr="00702B0E">
        <w:rPr>
          <w:sz w:val="24"/>
          <w:szCs w:val="24"/>
          <w:lang w:val="ro-RO"/>
        </w:rPr>
        <w:t>u</w:t>
      </w:r>
      <w:r w:rsidR="00D01046" w:rsidRPr="00702B0E">
        <w:rPr>
          <w:sz w:val="24"/>
          <w:szCs w:val="24"/>
          <w:lang w:val="ro-RO"/>
        </w:rPr>
        <w:t xml:space="preserve"> considerat cadre didactice virtuale  a căror grad de pregătire  corespund</w:t>
      </w:r>
      <w:r w:rsidR="00702B0E" w:rsidRPr="00702B0E">
        <w:rPr>
          <w:sz w:val="24"/>
          <w:szCs w:val="24"/>
          <w:lang w:val="ro-RO"/>
        </w:rPr>
        <w:t>e</w:t>
      </w:r>
      <w:r w:rsidR="00D01046" w:rsidRPr="00702B0E">
        <w:rPr>
          <w:sz w:val="24"/>
          <w:szCs w:val="24"/>
          <w:lang w:val="ro-RO"/>
        </w:rPr>
        <w:t xml:space="preserve"> nivelului impus </w:t>
      </w:r>
      <w:r w:rsidR="00702B0E" w:rsidRPr="00702B0E">
        <w:rPr>
          <w:sz w:val="24"/>
          <w:szCs w:val="24"/>
          <w:lang w:val="ro-RO"/>
        </w:rPr>
        <w:t>pentru</w:t>
      </w:r>
      <w:r w:rsidR="00D01046" w:rsidRPr="00702B0E">
        <w:rPr>
          <w:sz w:val="24"/>
          <w:szCs w:val="24"/>
          <w:lang w:val="ro-RO"/>
        </w:rPr>
        <w:t xml:space="preserve"> susținerea cursurilor sau aplicațiilor. Plecând de la acest </w:t>
      </w:r>
      <w:r w:rsidR="00E649DD" w:rsidRPr="00702B0E">
        <w:rPr>
          <w:sz w:val="24"/>
          <w:szCs w:val="24"/>
          <w:lang w:val="ro-RO"/>
        </w:rPr>
        <w:t xml:space="preserve">fapt </w:t>
      </w:r>
      <w:r w:rsidR="00D01046" w:rsidRPr="00702B0E">
        <w:rPr>
          <w:sz w:val="24"/>
          <w:szCs w:val="24"/>
          <w:lang w:val="ro-RO"/>
        </w:rPr>
        <w:t>s-au considerat normele încărcate la valorile de referința, adică fără scăderi sau creșteri ale normei specifice fiecărui cadru didactic</w:t>
      </w:r>
      <w:r w:rsidR="002526DB" w:rsidRPr="00702B0E">
        <w:rPr>
          <w:sz w:val="24"/>
          <w:szCs w:val="24"/>
          <w:lang w:val="ro-RO"/>
        </w:rPr>
        <w:t xml:space="preserve">, conform instrucțiunilor de elaborare state funcții: </w:t>
      </w:r>
      <w:r w:rsidR="002526DB" w:rsidRPr="00702B0E">
        <w:rPr>
          <w:i/>
          <w:sz w:val="24"/>
          <w:szCs w:val="24"/>
          <w:lang w:val="ro-RO"/>
        </w:rPr>
        <w:t xml:space="preserve">Instrucțiuni privind evidenta cadrelor didactice </w:t>
      </w:r>
      <w:r w:rsidR="002526DB" w:rsidRPr="00702B0E">
        <w:rPr>
          <w:i/>
          <w:sz w:val="24"/>
          <w:szCs w:val="24"/>
          <w:lang w:val="ro-RO"/>
        </w:rPr>
        <w:t>și</w:t>
      </w:r>
      <w:r w:rsidR="002526DB" w:rsidRPr="00702B0E">
        <w:rPr>
          <w:i/>
          <w:sz w:val="24"/>
          <w:szCs w:val="24"/>
          <w:lang w:val="ro-RO"/>
        </w:rPr>
        <w:t xml:space="preserve"> a </w:t>
      </w:r>
      <w:r w:rsidR="002526DB" w:rsidRPr="00702B0E">
        <w:rPr>
          <w:i/>
          <w:sz w:val="24"/>
          <w:szCs w:val="24"/>
          <w:lang w:val="ro-RO"/>
        </w:rPr>
        <w:t>activităților</w:t>
      </w:r>
      <w:r w:rsidR="002526DB" w:rsidRPr="00702B0E">
        <w:rPr>
          <w:i/>
          <w:sz w:val="24"/>
          <w:szCs w:val="24"/>
          <w:lang w:val="ro-RO"/>
        </w:rPr>
        <w:t xml:space="preserve"> procesului de </w:t>
      </w:r>
      <w:r w:rsidR="002526DB" w:rsidRPr="00702B0E">
        <w:rPr>
          <w:i/>
          <w:sz w:val="24"/>
          <w:szCs w:val="24"/>
          <w:lang w:val="ro-RO"/>
        </w:rPr>
        <w:t>învățământ</w:t>
      </w:r>
      <w:r w:rsidR="00702B0E" w:rsidRPr="00702B0E">
        <w:rPr>
          <w:i/>
          <w:sz w:val="24"/>
          <w:szCs w:val="24"/>
          <w:lang w:val="ro-RO"/>
        </w:rPr>
        <w:t>,</w:t>
      </w:r>
      <w:r w:rsidR="002526DB" w:rsidRPr="00702B0E">
        <w:rPr>
          <w:sz w:val="24"/>
          <w:szCs w:val="24"/>
          <w:lang w:val="ro-RO"/>
        </w:rPr>
        <w:t xml:space="preserve"> </w:t>
      </w:r>
      <w:r w:rsidR="002526DB" w:rsidRPr="00702B0E">
        <w:rPr>
          <w:sz w:val="24"/>
          <w:szCs w:val="24"/>
          <w:lang w:val="ro-RO"/>
        </w:rPr>
        <w:t xml:space="preserve"> valabile in anul universitar 2025-2026: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15"/>
        <w:gridCol w:w="1623"/>
        <w:gridCol w:w="1528"/>
        <w:gridCol w:w="1528"/>
        <w:gridCol w:w="1528"/>
        <w:gridCol w:w="1528"/>
      </w:tblGrid>
      <w:tr w:rsidR="002526DB" w:rsidRPr="00702B0E" w14:paraId="45BE39A7" w14:textId="6E6819E6" w:rsidTr="002526DB">
        <w:tc>
          <w:tcPr>
            <w:tcW w:w="1615" w:type="dxa"/>
          </w:tcPr>
          <w:p w14:paraId="3A92E796" w14:textId="737E90EC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Grad didactic</w:t>
            </w:r>
          </w:p>
        </w:tc>
        <w:tc>
          <w:tcPr>
            <w:tcW w:w="1623" w:type="dxa"/>
          </w:tcPr>
          <w:p w14:paraId="30CB422E" w14:textId="41C1E0F7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Prof</w:t>
            </w:r>
          </w:p>
        </w:tc>
        <w:tc>
          <w:tcPr>
            <w:tcW w:w="1528" w:type="dxa"/>
          </w:tcPr>
          <w:p w14:paraId="00B6ACA4" w14:textId="6F8A52A9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Conf.</w:t>
            </w:r>
          </w:p>
        </w:tc>
        <w:tc>
          <w:tcPr>
            <w:tcW w:w="1528" w:type="dxa"/>
          </w:tcPr>
          <w:p w14:paraId="7B09BF74" w14:textId="008C5372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SL</w:t>
            </w:r>
          </w:p>
        </w:tc>
        <w:tc>
          <w:tcPr>
            <w:tcW w:w="1528" w:type="dxa"/>
          </w:tcPr>
          <w:p w14:paraId="4002C7F8" w14:textId="2CB801D5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As.</w:t>
            </w:r>
          </w:p>
        </w:tc>
        <w:tc>
          <w:tcPr>
            <w:tcW w:w="1528" w:type="dxa"/>
          </w:tcPr>
          <w:p w14:paraId="2AB681BF" w14:textId="5C15C48E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As. concurs</w:t>
            </w:r>
          </w:p>
        </w:tc>
      </w:tr>
      <w:tr w:rsidR="002526DB" w:rsidRPr="00702B0E" w14:paraId="06B3A198" w14:textId="369C3329" w:rsidTr="002526DB">
        <w:tc>
          <w:tcPr>
            <w:tcW w:w="1615" w:type="dxa"/>
          </w:tcPr>
          <w:p w14:paraId="2DB69D3A" w14:textId="19B6672D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Ore norma</w:t>
            </w:r>
          </w:p>
        </w:tc>
        <w:tc>
          <w:tcPr>
            <w:tcW w:w="1623" w:type="dxa"/>
          </w:tcPr>
          <w:p w14:paraId="51BA8094" w14:textId="45E046C9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1528" w:type="dxa"/>
          </w:tcPr>
          <w:p w14:paraId="7AE384AE" w14:textId="03DD5DEE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1528" w:type="dxa"/>
          </w:tcPr>
          <w:p w14:paraId="0565FC07" w14:textId="5395417A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1528" w:type="dxa"/>
          </w:tcPr>
          <w:p w14:paraId="348252EA" w14:textId="500F5B15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1528" w:type="dxa"/>
          </w:tcPr>
          <w:p w14:paraId="21637D45" w14:textId="24CC0A66" w:rsidR="002526DB" w:rsidRPr="00702B0E" w:rsidRDefault="002526DB" w:rsidP="00D01046">
            <w:pPr>
              <w:rPr>
                <w:sz w:val="24"/>
                <w:szCs w:val="24"/>
                <w:lang w:val="ro-RO"/>
              </w:rPr>
            </w:pPr>
            <w:r w:rsidRPr="00702B0E">
              <w:rPr>
                <w:sz w:val="24"/>
                <w:szCs w:val="24"/>
                <w:lang w:val="ro-RO"/>
              </w:rPr>
              <w:t>12</w:t>
            </w:r>
          </w:p>
        </w:tc>
      </w:tr>
    </w:tbl>
    <w:p w14:paraId="08E7EB67" w14:textId="77777777" w:rsidR="00893388" w:rsidRPr="00702B0E" w:rsidRDefault="00893388" w:rsidP="00893388">
      <w:pPr>
        <w:ind w:left="720"/>
        <w:rPr>
          <w:sz w:val="24"/>
          <w:szCs w:val="24"/>
          <w:lang w:val="ro-RO"/>
        </w:rPr>
      </w:pPr>
    </w:p>
    <w:p w14:paraId="2C97050A" w14:textId="0D1E346A" w:rsidR="00893388" w:rsidRPr="00702B0E" w:rsidRDefault="00D56897" w:rsidP="00D56897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ab/>
      </w:r>
      <w:r w:rsidR="002526DB" w:rsidRPr="00702B0E">
        <w:rPr>
          <w:sz w:val="24"/>
          <w:szCs w:val="24"/>
          <w:lang w:val="ro-RO"/>
        </w:rPr>
        <w:t xml:space="preserve">Pentru a avea o baza in </w:t>
      </w:r>
      <w:r w:rsidRPr="00702B0E">
        <w:rPr>
          <w:sz w:val="24"/>
          <w:szCs w:val="24"/>
          <w:lang w:val="ro-RO"/>
        </w:rPr>
        <w:t xml:space="preserve">realizare analizei, la </w:t>
      </w:r>
      <w:r w:rsidR="002526DB" w:rsidRPr="00702B0E">
        <w:rPr>
          <w:sz w:val="24"/>
          <w:szCs w:val="24"/>
          <w:lang w:val="ro-RO"/>
        </w:rPr>
        <w:t xml:space="preserve">stabilirea normelor s-au considerat cadrele didactice care au desfășurat activități in semestrul 2 al anului universitar 2024-2025 si din semestrul 1 al anului universitar 2025-2026, adică </w:t>
      </w:r>
      <w:r w:rsidR="00893388" w:rsidRPr="00702B0E">
        <w:rPr>
          <w:sz w:val="24"/>
          <w:szCs w:val="24"/>
          <w:lang w:val="ro-RO"/>
        </w:rPr>
        <w:t>cele mai actuale</w:t>
      </w:r>
      <w:r w:rsidR="002526DB" w:rsidRPr="00702B0E">
        <w:rPr>
          <w:sz w:val="24"/>
          <w:szCs w:val="24"/>
          <w:lang w:val="ro-RO"/>
        </w:rPr>
        <w:t xml:space="preserve"> informații disponibile</w:t>
      </w:r>
      <w:r w:rsidR="00893388" w:rsidRPr="00702B0E">
        <w:rPr>
          <w:sz w:val="24"/>
          <w:szCs w:val="24"/>
          <w:lang w:val="ro-RO"/>
        </w:rPr>
        <w:t>.</w:t>
      </w:r>
      <w:r w:rsidR="002526DB" w:rsidRPr="00702B0E">
        <w:rPr>
          <w:sz w:val="24"/>
          <w:szCs w:val="24"/>
          <w:lang w:val="ro-RO"/>
        </w:rPr>
        <w:t xml:space="preserve"> </w:t>
      </w:r>
    </w:p>
    <w:p w14:paraId="0C331F27" w14:textId="52E47BC6" w:rsidR="00893388" w:rsidRPr="00702B0E" w:rsidRDefault="00E649DD" w:rsidP="00E649DD">
      <w:pPr>
        <w:jc w:val="both"/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ab/>
      </w:r>
      <w:r w:rsidR="00D56897" w:rsidRPr="00702B0E">
        <w:rPr>
          <w:sz w:val="24"/>
          <w:szCs w:val="24"/>
          <w:lang w:val="ro-RO"/>
        </w:rPr>
        <w:t xml:space="preserve">Ca modalitate de abordare </w:t>
      </w:r>
      <w:r w:rsidR="00893388" w:rsidRPr="00702B0E">
        <w:rPr>
          <w:sz w:val="24"/>
          <w:szCs w:val="24"/>
          <w:lang w:val="ro-RO"/>
        </w:rPr>
        <w:t xml:space="preserve">s-a considerat activitatea didactica necesara parcurgerii întregului program </w:t>
      </w:r>
      <w:r w:rsidR="00D56897" w:rsidRPr="00702B0E">
        <w:rPr>
          <w:sz w:val="24"/>
          <w:szCs w:val="24"/>
          <w:lang w:val="ro-RO"/>
        </w:rPr>
        <w:t xml:space="preserve">studiu </w:t>
      </w:r>
      <w:r w:rsidR="00893388" w:rsidRPr="00702B0E">
        <w:rPr>
          <w:sz w:val="24"/>
          <w:szCs w:val="24"/>
          <w:lang w:val="ro-RO"/>
        </w:rPr>
        <w:t xml:space="preserve">de pentru grup de studenți care nu </w:t>
      </w:r>
      <w:r w:rsidR="007F733D" w:rsidRPr="00702B0E">
        <w:rPr>
          <w:sz w:val="24"/>
          <w:szCs w:val="24"/>
          <w:lang w:val="ro-RO"/>
        </w:rPr>
        <w:t>depășește</w:t>
      </w:r>
      <w:r w:rsidR="00893388" w:rsidRPr="00702B0E">
        <w:rPr>
          <w:sz w:val="24"/>
          <w:szCs w:val="24"/>
          <w:lang w:val="ro-RO"/>
        </w:rPr>
        <w:t xml:space="preserve"> dimensiune unei grupe</w:t>
      </w:r>
      <w:r w:rsidR="00D56897" w:rsidRPr="00702B0E">
        <w:rPr>
          <w:sz w:val="24"/>
          <w:szCs w:val="24"/>
          <w:lang w:val="ro-RO"/>
        </w:rPr>
        <w:t>/subgrupe</w:t>
      </w:r>
      <w:r w:rsidR="00893388" w:rsidRPr="00702B0E">
        <w:rPr>
          <w:sz w:val="24"/>
          <w:szCs w:val="24"/>
          <w:lang w:val="ro-RO"/>
        </w:rPr>
        <w:t xml:space="preserve"> considerând  1 singur an de studii pentru curs si 1 grupa</w:t>
      </w:r>
      <w:r w:rsidR="00D56897" w:rsidRPr="00702B0E">
        <w:rPr>
          <w:sz w:val="24"/>
          <w:szCs w:val="24"/>
          <w:lang w:val="ro-RO"/>
        </w:rPr>
        <w:t>/subgrupa</w:t>
      </w:r>
      <w:r w:rsidR="00893388" w:rsidRPr="00702B0E">
        <w:rPr>
          <w:sz w:val="24"/>
          <w:szCs w:val="24"/>
          <w:lang w:val="ro-RO"/>
        </w:rPr>
        <w:t xml:space="preserve"> pentru aplicații.  In aceasta ipoteza pentru semestrele 1-5 s-a considerat cursul de la o singura serie, iar </w:t>
      </w:r>
      <w:r w:rsidRPr="00702B0E">
        <w:rPr>
          <w:sz w:val="24"/>
          <w:szCs w:val="24"/>
          <w:lang w:val="ro-RO"/>
        </w:rPr>
        <w:t>aplicațiile</w:t>
      </w:r>
      <w:r w:rsidR="00893388" w:rsidRPr="00702B0E">
        <w:rPr>
          <w:sz w:val="24"/>
          <w:szCs w:val="24"/>
          <w:lang w:val="ro-RO"/>
        </w:rPr>
        <w:t xml:space="preserve"> s-a </w:t>
      </w:r>
      <w:r w:rsidRPr="00702B0E">
        <w:rPr>
          <w:sz w:val="24"/>
          <w:szCs w:val="24"/>
          <w:lang w:val="ro-RO"/>
        </w:rPr>
        <w:t>considerat</w:t>
      </w:r>
      <w:r w:rsidR="00893388" w:rsidRPr="00702B0E">
        <w:rPr>
          <w:sz w:val="24"/>
          <w:szCs w:val="24"/>
          <w:lang w:val="ro-RO"/>
        </w:rPr>
        <w:t xml:space="preserve"> efectuate o singura data (</w:t>
      </w:r>
      <w:r w:rsidRPr="00702B0E">
        <w:rPr>
          <w:sz w:val="24"/>
          <w:szCs w:val="24"/>
          <w:lang w:val="ro-RO"/>
        </w:rPr>
        <w:t xml:space="preserve">nu s-a multiplicat cu numărul de grupe/ subgrupe). S-a optat pentru aceasta modalitate de </w:t>
      </w:r>
      <w:r w:rsidR="007F733D" w:rsidRPr="00702B0E">
        <w:rPr>
          <w:sz w:val="24"/>
          <w:szCs w:val="24"/>
          <w:lang w:val="ro-RO"/>
        </w:rPr>
        <w:t>analiza</w:t>
      </w:r>
      <w:r w:rsidRPr="00702B0E">
        <w:rPr>
          <w:sz w:val="24"/>
          <w:szCs w:val="24"/>
          <w:lang w:val="ro-RO"/>
        </w:rPr>
        <w:t xml:space="preserve"> pentru a extrage din totalul efortului didactic pentru semestrele 1-5 numai partea care revine specializării respective.</w:t>
      </w:r>
    </w:p>
    <w:p w14:paraId="45FA6C0F" w14:textId="0B0D2FB0" w:rsidR="00D01046" w:rsidRPr="00702B0E" w:rsidRDefault="00E649DD" w:rsidP="00D01046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ab/>
        <w:t>O alternativa la aceasta abordare,</w:t>
      </w:r>
      <w:r w:rsidR="00702B0E" w:rsidRPr="00702B0E">
        <w:rPr>
          <w:sz w:val="24"/>
          <w:szCs w:val="24"/>
          <w:lang w:val="ro-RO"/>
        </w:rPr>
        <w:t xml:space="preserve"> tip „STAT VIRTUAL””</w:t>
      </w:r>
      <w:r w:rsidRPr="00702B0E">
        <w:rPr>
          <w:sz w:val="24"/>
          <w:szCs w:val="24"/>
          <w:lang w:val="ro-RO"/>
        </w:rPr>
        <w:t xml:space="preserve"> const</w:t>
      </w:r>
      <w:r w:rsidR="00D56897" w:rsidRPr="00702B0E">
        <w:rPr>
          <w:sz w:val="24"/>
          <w:szCs w:val="24"/>
          <w:lang w:val="ro-RO"/>
        </w:rPr>
        <w:t>a</w:t>
      </w:r>
      <w:r w:rsidRPr="00702B0E">
        <w:rPr>
          <w:sz w:val="24"/>
          <w:szCs w:val="24"/>
          <w:lang w:val="ro-RO"/>
        </w:rPr>
        <w:t xml:space="preserve"> in organizarea analizei pornind de la toate cadrele didactice care desfășoară activități in semestrele 1- 5</w:t>
      </w:r>
      <w:r w:rsidR="00702B0E" w:rsidRPr="00702B0E">
        <w:rPr>
          <w:sz w:val="24"/>
          <w:szCs w:val="24"/>
          <w:lang w:val="ro-RO"/>
        </w:rPr>
        <w:t>,</w:t>
      </w:r>
      <w:r w:rsidRPr="00702B0E">
        <w:rPr>
          <w:sz w:val="24"/>
          <w:szCs w:val="24"/>
          <w:lang w:val="ro-RO"/>
        </w:rPr>
        <w:t xml:space="preserve"> dar in această abordare nu se poate separa efortul pentru o specializare anume, </w:t>
      </w:r>
      <w:r w:rsidR="00702B0E" w:rsidRPr="00702B0E">
        <w:rPr>
          <w:sz w:val="24"/>
          <w:szCs w:val="24"/>
          <w:lang w:val="ro-RO"/>
        </w:rPr>
        <w:t>deoarece</w:t>
      </w:r>
      <w:r w:rsidRPr="00702B0E">
        <w:rPr>
          <w:sz w:val="24"/>
          <w:szCs w:val="24"/>
          <w:lang w:val="ro-RO"/>
        </w:rPr>
        <w:t xml:space="preserve"> activitatea nu este structurata pe specializări. </w:t>
      </w:r>
      <w:r w:rsidR="00D56897" w:rsidRPr="00702B0E">
        <w:rPr>
          <w:sz w:val="24"/>
          <w:szCs w:val="24"/>
          <w:lang w:val="ro-RO"/>
        </w:rPr>
        <w:t xml:space="preserve">Evident ca aceasta alternativa va evidenția un efort didactic mai mare fata de abordare propusa in acesta analiza deoarece va conține întreaga activitate din semestrele 1-5 la nivel FIA. </w:t>
      </w:r>
    </w:p>
    <w:p w14:paraId="43DDBA60" w14:textId="2216D127" w:rsidR="007F733D" w:rsidRDefault="007F733D" w:rsidP="00D01046">
      <w:pPr>
        <w:rPr>
          <w:sz w:val="24"/>
          <w:szCs w:val="24"/>
          <w:lang w:val="ro-RO"/>
        </w:rPr>
      </w:pPr>
    </w:p>
    <w:p w14:paraId="606295DD" w14:textId="411C312D" w:rsidR="00702B0E" w:rsidRDefault="00702B0E" w:rsidP="00D01046">
      <w:pPr>
        <w:rPr>
          <w:sz w:val="24"/>
          <w:szCs w:val="24"/>
          <w:lang w:val="ro-RO"/>
        </w:rPr>
      </w:pPr>
    </w:p>
    <w:p w14:paraId="719768C8" w14:textId="589BADE7" w:rsidR="00702B0E" w:rsidRDefault="00702B0E" w:rsidP="00D01046">
      <w:pPr>
        <w:rPr>
          <w:sz w:val="24"/>
          <w:szCs w:val="24"/>
          <w:lang w:val="ro-RO"/>
        </w:rPr>
      </w:pPr>
    </w:p>
    <w:p w14:paraId="676B4A76" w14:textId="77777777" w:rsidR="00702B0E" w:rsidRPr="00702B0E" w:rsidRDefault="00702B0E" w:rsidP="00D01046">
      <w:pPr>
        <w:rPr>
          <w:sz w:val="24"/>
          <w:szCs w:val="24"/>
          <w:lang w:val="ro-RO"/>
        </w:rPr>
      </w:pPr>
    </w:p>
    <w:p w14:paraId="3F4D0070" w14:textId="6D28C28C" w:rsidR="007F733D" w:rsidRPr="00702B0E" w:rsidRDefault="007F733D" w:rsidP="00D01046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lastRenderedPageBreak/>
        <w:t xml:space="preserve">Rezultate obținute: </w:t>
      </w:r>
    </w:p>
    <w:p w14:paraId="4FBC6E9E" w14:textId="7D300B53" w:rsidR="007F733D" w:rsidRPr="00702B0E" w:rsidRDefault="007F733D" w:rsidP="00D01046">
      <w:pPr>
        <w:rPr>
          <w:sz w:val="24"/>
          <w:szCs w:val="24"/>
          <w:lang w:val="ro-RO"/>
        </w:rPr>
      </w:pPr>
      <w:r w:rsidRPr="00702B0E">
        <w:rPr>
          <w:sz w:val="24"/>
          <w:szCs w:val="24"/>
          <w:lang w:val="ro-RO"/>
        </w:rPr>
        <w:t>Total fracțiuni norme didactice IMA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00"/>
        <w:gridCol w:w="941"/>
        <w:gridCol w:w="941"/>
        <w:gridCol w:w="933"/>
      </w:tblGrid>
      <w:tr w:rsidR="007F733D" w:rsidRPr="007F733D" w14:paraId="4B888E7B" w14:textId="77777777" w:rsidTr="007F733D">
        <w:tc>
          <w:tcPr>
            <w:tcW w:w="0" w:type="auto"/>
            <w:vAlign w:val="bottom"/>
          </w:tcPr>
          <w:p w14:paraId="1D10406A" w14:textId="5016218B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Grad didactic</w:t>
            </w:r>
          </w:p>
        </w:tc>
        <w:tc>
          <w:tcPr>
            <w:tcW w:w="0" w:type="auto"/>
            <w:vAlign w:val="bottom"/>
          </w:tcPr>
          <w:p w14:paraId="1383F562" w14:textId="7C11B2AD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Total</w:t>
            </w:r>
          </w:p>
        </w:tc>
        <w:tc>
          <w:tcPr>
            <w:tcW w:w="0" w:type="auto"/>
            <w:vAlign w:val="bottom"/>
          </w:tcPr>
          <w:p w14:paraId="48696008" w14:textId="4E00873D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Curs</w:t>
            </w:r>
          </w:p>
        </w:tc>
        <w:tc>
          <w:tcPr>
            <w:tcW w:w="0" w:type="auto"/>
            <w:vAlign w:val="bottom"/>
          </w:tcPr>
          <w:p w14:paraId="0D95EBED" w14:textId="5223E006" w:rsidR="007F733D" w:rsidRPr="007F733D" w:rsidRDefault="00702B0E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Aplicații</w:t>
            </w:r>
          </w:p>
        </w:tc>
      </w:tr>
      <w:tr w:rsidR="007F733D" w:rsidRPr="007F733D" w14:paraId="39291533" w14:textId="77777777" w:rsidTr="007F733D">
        <w:tc>
          <w:tcPr>
            <w:tcW w:w="0" w:type="auto"/>
            <w:vAlign w:val="bottom"/>
          </w:tcPr>
          <w:p w14:paraId="50CEE50A" w14:textId="5A3ED876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Prof</w:t>
            </w:r>
            <w:r>
              <w:rPr>
                <w:rFonts w:ascii="Calibri" w:hAnsi="Calibri" w:cs="Calibri"/>
                <w:color w:val="000000"/>
                <w:lang w:val="ro-RO"/>
              </w:rPr>
              <w:t>.</w:t>
            </w:r>
          </w:p>
        </w:tc>
        <w:tc>
          <w:tcPr>
            <w:tcW w:w="0" w:type="auto"/>
            <w:vAlign w:val="bottom"/>
          </w:tcPr>
          <w:p w14:paraId="2C35A11A" w14:textId="36033C12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2.3333</w:t>
            </w:r>
          </w:p>
        </w:tc>
        <w:tc>
          <w:tcPr>
            <w:tcW w:w="0" w:type="auto"/>
            <w:vAlign w:val="bottom"/>
          </w:tcPr>
          <w:p w14:paraId="20722E93" w14:textId="35245874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2.3333</w:t>
            </w:r>
          </w:p>
        </w:tc>
        <w:tc>
          <w:tcPr>
            <w:tcW w:w="0" w:type="auto"/>
            <w:vAlign w:val="bottom"/>
          </w:tcPr>
          <w:p w14:paraId="577185DB" w14:textId="4E6232C8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0.0000</w:t>
            </w:r>
          </w:p>
        </w:tc>
      </w:tr>
      <w:tr w:rsidR="007F733D" w:rsidRPr="007F733D" w14:paraId="71350977" w14:textId="77777777" w:rsidTr="007F733D">
        <w:tc>
          <w:tcPr>
            <w:tcW w:w="0" w:type="auto"/>
            <w:vAlign w:val="bottom"/>
          </w:tcPr>
          <w:p w14:paraId="781F1BEB" w14:textId="372F749A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Conf</w:t>
            </w:r>
            <w:r>
              <w:rPr>
                <w:rFonts w:ascii="Calibri" w:hAnsi="Calibri" w:cs="Calibri"/>
                <w:color w:val="000000"/>
                <w:lang w:val="ro-RO"/>
              </w:rPr>
              <w:t>.</w:t>
            </w:r>
          </w:p>
        </w:tc>
        <w:tc>
          <w:tcPr>
            <w:tcW w:w="0" w:type="auto"/>
            <w:vAlign w:val="bottom"/>
          </w:tcPr>
          <w:p w14:paraId="5C7EF0C5" w14:textId="2C2E0DB3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1.7000</w:t>
            </w:r>
          </w:p>
        </w:tc>
        <w:tc>
          <w:tcPr>
            <w:tcW w:w="0" w:type="auto"/>
            <w:vAlign w:val="bottom"/>
          </w:tcPr>
          <w:p w14:paraId="0CE78CB6" w14:textId="7DD05441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1.6000</w:t>
            </w:r>
          </w:p>
        </w:tc>
        <w:tc>
          <w:tcPr>
            <w:tcW w:w="0" w:type="auto"/>
            <w:vAlign w:val="bottom"/>
          </w:tcPr>
          <w:p w14:paraId="2A0DDF1C" w14:textId="3C3D45B6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0.1000</w:t>
            </w:r>
          </w:p>
        </w:tc>
      </w:tr>
      <w:tr w:rsidR="007F733D" w:rsidRPr="007F733D" w14:paraId="2BFBB7B5" w14:textId="77777777" w:rsidTr="007F733D">
        <w:tc>
          <w:tcPr>
            <w:tcW w:w="0" w:type="auto"/>
            <w:vAlign w:val="bottom"/>
          </w:tcPr>
          <w:p w14:paraId="1AB90156" w14:textId="15A839F3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SL</w:t>
            </w:r>
          </w:p>
        </w:tc>
        <w:tc>
          <w:tcPr>
            <w:tcW w:w="0" w:type="auto"/>
            <w:vAlign w:val="bottom"/>
          </w:tcPr>
          <w:p w14:paraId="4674F152" w14:textId="71C3E92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7.3958</w:t>
            </w:r>
          </w:p>
        </w:tc>
        <w:tc>
          <w:tcPr>
            <w:tcW w:w="0" w:type="auto"/>
            <w:vAlign w:val="bottom"/>
          </w:tcPr>
          <w:p w14:paraId="0F5AAFA8" w14:textId="03D4811F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6.0833</w:t>
            </w:r>
          </w:p>
        </w:tc>
        <w:tc>
          <w:tcPr>
            <w:tcW w:w="0" w:type="auto"/>
            <w:vAlign w:val="bottom"/>
          </w:tcPr>
          <w:p w14:paraId="251183D8" w14:textId="0A6A30CC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1.3125</w:t>
            </w:r>
          </w:p>
        </w:tc>
      </w:tr>
      <w:tr w:rsidR="007F733D" w:rsidRPr="007F733D" w14:paraId="3F23658B" w14:textId="77777777" w:rsidTr="007F733D">
        <w:tc>
          <w:tcPr>
            <w:tcW w:w="0" w:type="auto"/>
            <w:vAlign w:val="bottom"/>
          </w:tcPr>
          <w:p w14:paraId="72C3641B" w14:textId="26DEADDF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As</w:t>
            </w:r>
          </w:p>
        </w:tc>
        <w:tc>
          <w:tcPr>
            <w:tcW w:w="0" w:type="auto"/>
            <w:vAlign w:val="bottom"/>
          </w:tcPr>
          <w:p w14:paraId="4CE45958" w14:textId="47C0FA7C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2.1346</w:t>
            </w:r>
          </w:p>
        </w:tc>
        <w:tc>
          <w:tcPr>
            <w:tcW w:w="0" w:type="auto"/>
            <w:vAlign w:val="bottom"/>
          </w:tcPr>
          <w:p w14:paraId="6F44506B" w14:textId="515642E9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0.0000</w:t>
            </w:r>
          </w:p>
        </w:tc>
        <w:tc>
          <w:tcPr>
            <w:tcW w:w="0" w:type="auto"/>
            <w:vAlign w:val="bottom"/>
          </w:tcPr>
          <w:p w14:paraId="2ACE15B4" w14:textId="7551B2A4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2.1346</w:t>
            </w:r>
          </w:p>
        </w:tc>
      </w:tr>
      <w:tr w:rsidR="007F733D" w:rsidRPr="007F733D" w14:paraId="6758A9F6" w14:textId="77777777" w:rsidTr="007F733D">
        <w:tc>
          <w:tcPr>
            <w:tcW w:w="0" w:type="auto"/>
            <w:vAlign w:val="bottom"/>
          </w:tcPr>
          <w:p w14:paraId="4BFB6674" w14:textId="5A3F412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As Concurs</w:t>
            </w:r>
          </w:p>
        </w:tc>
        <w:tc>
          <w:tcPr>
            <w:tcW w:w="0" w:type="auto"/>
            <w:vAlign w:val="bottom"/>
          </w:tcPr>
          <w:p w14:paraId="06964BA2" w14:textId="47B34D82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0.2083</w:t>
            </w:r>
          </w:p>
        </w:tc>
        <w:tc>
          <w:tcPr>
            <w:tcW w:w="0" w:type="auto"/>
            <w:vAlign w:val="bottom"/>
          </w:tcPr>
          <w:p w14:paraId="4EE03102" w14:textId="44B153FC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0.0000</w:t>
            </w:r>
          </w:p>
        </w:tc>
        <w:tc>
          <w:tcPr>
            <w:tcW w:w="0" w:type="auto"/>
            <w:vAlign w:val="bottom"/>
          </w:tcPr>
          <w:p w14:paraId="09C50B8C" w14:textId="61EFC9A1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0.2083</w:t>
            </w:r>
          </w:p>
        </w:tc>
      </w:tr>
      <w:tr w:rsidR="007F733D" w:rsidRPr="007F733D" w14:paraId="1639D2FC" w14:textId="77777777" w:rsidTr="007F733D">
        <w:tc>
          <w:tcPr>
            <w:tcW w:w="0" w:type="auto"/>
            <w:vAlign w:val="bottom"/>
          </w:tcPr>
          <w:p w14:paraId="4F7D33BC" w14:textId="47171295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Total</w:t>
            </w:r>
          </w:p>
        </w:tc>
        <w:tc>
          <w:tcPr>
            <w:tcW w:w="0" w:type="auto"/>
            <w:vAlign w:val="bottom"/>
          </w:tcPr>
          <w:p w14:paraId="11368652" w14:textId="5B30C9F3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13.7721</w:t>
            </w:r>
          </w:p>
        </w:tc>
        <w:tc>
          <w:tcPr>
            <w:tcW w:w="0" w:type="auto"/>
            <w:vAlign w:val="bottom"/>
          </w:tcPr>
          <w:p w14:paraId="73CBB527" w14:textId="79C057B9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10.0167</w:t>
            </w:r>
          </w:p>
        </w:tc>
        <w:tc>
          <w:tcPr>
            <w:tcW w:w="0" w:type="auto"/>
            <w:vAlign w:val="bottom"/>
          </w:tcPr>
          <w:p w14:paraId="68F1904D" w14:textId="62F25C5A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3.7554</w:t>
            </w:r>
          </w:p>
        </w:tc>
      </w:tr>
    </w:tbl>
    <w:p w14:paraId="524C50F1" w14:textId="1976F5CF" w:rsidR="007F733D" w:rsidRPr="007F733D" w:rsidRDefault="007F733D" w:rsidP="00D01046">
      <w:pPr>
        <w:rPr>
          <w:lang w:val="ro-RO"/>
        </w:rPr>
      </w:pPr>
    </w:p>
    <w:p w14:paraId="16A250DD" w14:textId="531E6E09" w:rsidR="007F733D" w:rsidRPr="007F733D" w:rsidRDefault="007F733D" w:rsidP="007F733D">
      <w:pPr>
        <w:rPr>
          <w:lang w:val="ro-RO"/>
        </w:rPr>
      </w:pPr>
      <w:r w:rsidRPr="007F733D">
        <w:rPr>
          <w:lang w:val="ro-RO"/>
        </w:rPr>
        <w:t xml:space="preserve">Total </w:t>
      </w:r>
      <w:r w:rsidRPr="007F733D">
        <w:rPr>
          <w:lang w:val="ro-RO"/>
        </w:rPr>
        <w:t xml:space="preserve">fracțiuni </w:t>
      </w:r>
      <w:r w:rsidRPr="007F733D">
        <w:rPr>
          <w:lang w:val="ro-RO"/>
        </w:rPr>
        <w:t xml:space="preserve">norme didactice </w:t>
      </w:r>
      <w:r w:rsidRPr="007F733D">
        <w:rPr>
          <w:lang w:val="ro-RO"/>
        </w:rPr>
        <w:t>EIA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00"/>
        <w:gridCol w:w="941"/>
        <w:gridCol w:w="941"/>
        <w:gridCol w:w="933"/>
      </w:tblGrid>
      <w:tr w:rsidR="007F733D" w:rsidRPr="007F733D" w14:paraId="4D1BE3AF" w14:textId="77777777" w:rsidTr="00EC30DA">
        <w:tc>
          <w:tcPr>
            <w:tcW w:w="0" w:type="auto"/>
            <w:vAlign w:val="bottom"/>
          </w:tcPr>
          <w:p w14:paraId="6C04E967" w14:textId="77777777" w:rsidR="007F733D" w:rsidRPr="007F733D" w:rsidRDefault="007F733D" w:rsidP="00EC30DA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Grad didactic</w:t>
            </w:r>
          </w:p>
        </w:tc>
        <w:tc>
          <w:tcPr>
            <w:tcW w:w="0" w:type="auto"/>
            <w:vAlign w:val="bottom"/>
          </w:tcPr>
          <w:p w14:paraId="137AFA53" w14:textId="77777777" w:rsidR="007F733D" w:rsidRPr="007F733D" w:rsidRDefault="007F733D" w:rsidP="00EC30DA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Total</w:t>
            </w:r>
          </w:p>
        </w:tc>
        <w:tc>
          <w:tcPr>
            <w:tcW w:w="0" w:type="auto"/>
            <w:vAlign w:val="bottom"/>
          </w:tcPr>
          <w:p w14:paraId="6FE1F6D3" w14:textId="77777777" w:rsidR="007F733D" w:rsidRPr="007F733D" w:rsidRDefault="007F733D" w:rsidP="00EC30DA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Curs</w:t>
            </w:r>
          </w:p>
        </w:tc>
        <w:tc>
          <w:tcPr>
            <w:tcW w:w="0" w:type="auto"/>
            <w:vAlign w:val="bottom"/>
          </w:tcPr>
          <w:p w14:paraId="4AC6F117" w14:textId="13E093F3" w:rsidR="007F733D" w:rsidRPr="007F733D" w:rsidRDefault="00702B0E" w:rsidP="00EC30DA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Aplicații</w:t>
            </w:r>
          </w:p>
        </w:tc>
      </w:tr>
      <w:tr w:rsidR="007F733D" w:rsidRPr="007F733D" w14:paraId="1D8D5733" w14:textId="77777777" w:rsidTr="00EC30DA">
        <w:tc>
          <w:tcPr>
            <w:tcW w:w="0" w:type="auto"/>
            <w:vAlign w:val="bottom"/>
          </w:tcPr>
          <w:p w14:paraId="41FA92BB" w14:textId="3271FE8B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Prof</w:t>
            </w:r>
            <w:r>
              <w:rPr>
                <w:rFonts w:ascii="Calibri" w:hAnsi="Calibri" w:cs="Calibri"/>
                <w:color w:val="000000"/>
                <w:lang w:val="ro-RO"/>
              </w:rPr>
              <w:t>.</w:t>
            </w:r>
          </w:p>
        </w:tc>
        <w:tc>
          <w:tcPr>
            <w:tcW w:w="0" w:type="auto"/>
            <w:vAlign w:val="bottom"/>
          </w:tcPr>
          <w:p w14:paraId="44DBE7D3" w14:textId="1B1A58A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3.7222</w:t>
            </w:r>
          </w:p>
        </w:tc>
        <w:tc>
          <w:tcPr>
            <w:tcW w:w="0" w:type="auto"/>
            <w:vAlign w:val="bottom"/>
          </w:tcPr>
          <w:p w14:paraId="435965F7" w14:textId="77993E1D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3.6667</w:t>
            </w:r>
          </w:p>
        </w:tc>
        <w:tc>
          <w:tcPr>
            <w:tcW w:w="0" w:type="auto"/>
            <w:vAlign w:val="bottom"/>
          </w:tcPr>
          <w:p w14:paraId="57A9862D" w14:textId="4F3EEEC0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0.0556</w:t>
            </w:r>
          </w:p>
        </w:tc>
      </w:tr>
      <w:tr w:rsidR="007F733D" w:rsidRPr="007F733D" w14:paraId="10016314" w14:textId="77777777" w:rsidTr="00EC30DA">
        <w:tc>
          <w:tcPr>
            <w:tcW w:w="0" w:type="auto"/>
            <w:vAlign w:val="bottom"/>
          </w:tcPr>
          <w:p w14:paraId="5256F3C0" w14:textId="3298FEC1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Conf</w:t>
            </w:r>
            <w:r>
              <w:rPr>
                <w:rFonts w:ascii="Calibri" w:hAnsi="Calibri" w:cs="Calibri"/>
                <w:color w:val="000000"/>
                <w:lang w:val="ro-RO"/>
              </w:rPr>
              <w:t>.</w:t>
            </w:r>
          </w:p>
        </w:tc>
        <w:tc>
          <w:tcPr>
            <w:tcW w:w="0" w:type="auto"/>
            <w:vAlign w:val="bottom"/>
          </w:tcPr>
          <w:p w14:paraId="6CD1FDBD" w14:textId="6662BA61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2.4250</w:t>
            </w:r>
          </w:p>
        </w:tc>
        <w:tc>
          <w:tcPr>
            <w:tcW w:w="0" w:type="auto"/>
            <w:vAlign w:val="bottom"/>
          </w:tcPr>
          <w:p w14:paraId="4F003891" w14:textId="157604CE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2.2000</w:t>
            </w:r>
          </w:p>
        </w:tc>
        <w:tc>
          <w:tcPr>
            <w:tcW w:w="0" w:type="auto"/>
            <w:vAlign w:val="bottom"/>
          </w:tcPr>
          <w:p w14:paraId="5686E4B9" w14:textId="6B15DBA0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0.2250</w:t>
            </w:r>
          </w:p>
        </w:tc>
      </w:tr>
      <w:tr w:rsidR="007F733D" w:rsidRPr="007F733D" w14:paraId="4F515112" w14:textId="77777777" w:rsidTr="00EC30DA">
        <w:tc>
          <w:tcPr>
            <w:tcW w:w="0" w:type="auto"/>
            <w:vAlign w:val="bottom"/>
          </w:tcPr>
          <w:p w14:paraId="2042AFE3" w14:textId="7777777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SL</w:t>
            </w:r>
          </w:p>
        </w:tc>
        <w:tc>
          <w:tcPr>
            <w:tcW w:w="0" w:type="auto"/>
            <w:vAlign w:val="bottom"/>
          </w:tcPr>
          <w:p w14:paraId="39626517" w14:textId="0D90CEE4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5.6250</w:t>
            </w:r>
          </w:p>
        </w:tc>
        <w:tc>
          <w:tcPr>
            <w:tcW w:w="0" w:type="auto"/>
            <w:vAlign w:val="bottom"/>
          </w:tcPr>
          <w:p w14:paraId="0ECD0417" w14:textId="316D7F6A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4.5833</w:t>
            </w:r>
          </w:p>
        </w:tc>
        <w:tc>
          <w:tcPr>
            <w:tcW w:w="0" w:type="auto"/>
            <w:vAlign w:val="bottom"/>
          </w:tcPr>
          <w:p w14:paraId="6A22ACF0" w14:textId="1C5CAB78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1.0417</w:t>
            </w:r>
          </w:p>
        </w:tc>
      </w:tr>
      <w:tr w:rsidR="007F733D" w:rsidRPr="007F733D" w14:paraId="55CBFAC9" w14:textId="77777777" w:rsidTr="00EC30DA">
        <w:tc>
          <w:tcPr>
            <w:tcW w:w="0" w:type="auto"/>
            <w:vAlign w:val="bottom"/>
          </w:tcPr>
          <w:p w14:paraId="7DA0103A" w14:textId="7777777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As</w:t>
            </w:r>
          </w:p>
        </w:tc>
        <w:tc>
          <w:tcPr>
            <w:tcW w:w="0" w:type="auto"/>
            <w:vAlign w:val="bottom"/>
          </w:tcPr>
          <w:p w14:paraId="009B8878" w14:textId="46E87D72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2.3269</w:t>
            </w:r>
          </w:p>
        </w:tc>
        <w:tc>
          <w:tcPr>
            <w:tcW w:w="0" w:type="auto"/>
            <w:vAlign w:val="bottom"/>
          </w:tcPr>
          <w:p w14:paraId="69CF1FC2" w14:textId="78637CE1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0.0000</w:t>
            </w:r>
          </w:p>
        </w:tc>
        <w:tc>
          <w:tcPr>
            <w:tcW w:w="0" w:type="auto"/>
            <w:vAlign w:val="bottom"/>
          </w:tcPr>
          <w:p w14:paraId="4A025036" w14:textId="66916B28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2.3269</w:t>
            </w:r>
          </w:p>
        </w:tc>
      </w:tr>
      <w:tr w:rsidR="007F733D" w:rsidRPr="007F733D" w14:paraId="2343F7CD" w14:textId="77777777" w:rsidTr="00EC30DA">
        <w:tc>
          <w:tcPr>
            <w:tcW w:w="0" w:type="auto"/>
            <w:vAlign w:val="bottom"/>
          </w:tcPr>
          <w:p w14:paraId="0D60E2B0" w14:textId="7777777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As Concurs</w:t>
            </w:r>
          </w:p>
        </w:tc>
        <w:tc>
          <w:tcPr>
            <w:tcW w:w="0" w:type="auto"/>
            <w:vAlign w:val="bottom"/>
          </w:tcPr>
          <w:p w14:paraId="58E54278" w14:textId="780F9395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0.1250</w:t>
            </w:r>
          </w:p>
        </w:tc>
        <w:tc>
          <w:tcPr>
            <w:tcW w:w="0" w:type="auto"/>
            <w:vAlign w:val="bottom"/>
          </w:tcPr>
          <w:p w14:paraId="6E33C8D6" w14:textId="26733A44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0.0000</w:t>
            </w:r>
          </w:p>
        </w:tc>
        <w:tc>
          <w:tcPr>
            <w:tcW w:w="0" w:type="auto"/>
            <w:vAlign w:val="bottom"/>
          </w:tcPr>
          <w:p w14:paraId="53ACB260" w14:textId="62B1DB6C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0.1250</w:t>
            </w:r>
          </w:p>
        </w:tc>
      </w:tr>
      <w:tr w:rsidR="007F733D" w:rsidRPr="007F733D" w14:paraId="24D5C347" w14:textId="77777777" w:rsidTr="00EC30DA">
        <w:tc>
          <w:tcPr>
            <w:tcW w:w="0" w:type="auto"/>
            <w:vAlign w:val="bottom"/>
          </w:tcPr>
          <w:p w14:paraId="01862EAC" w14:textId="7777777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Total</w:t>
            </w:r>
          </w:p>
        </w:tc>
        <w:tc>
          <w:tcPr>
            <w:tcW w:w="0" w:type="auto"/>
            <w:vAlign w:val="bottom"/>
          </w:tcPr>
          <w:p w14:paraId="13B91CA2" w14:textId="76BE71A1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14.2241</w:t>
            </w:r>
          </w:p>
        </w:tc>
        <w:tc>
          <w:tcPr>
            <w:tcW w:w="0" w:type="auto"/>
            <w:vAlign w:val="bottom"/>
          </w:tcPr>
          <w:p w14:paraId="3F8C2368" w14:textId="1DDC1689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10.4500</w:t>
            </w:r>
          </w:p>
        </w:tc>
        <w:tc>
          <w:tcPr>
            <w:tcW w:w="0" w:type="auto"/>
            <w:vAlign w:val="bottom"/>
          </w:tcPr>
          <w:p w14:paraId="7E3726BB" w14:textId="40740657" w:rsidR="007F733D" w:rsidRPr="007F733D" w:rsidRDefault="007F733D" w:rsidP="007F733D">
            <w:pPr>
              <w:rPr>
                <w:lang w:val="ro-RO"/>
              </w:rPr>
            </w:pPr>
            <w:r w:rsidRPr="007F733D">
              <w:rPr>
                <w:rFonts w:ascii="Calibri" w:hAnsi="Calibri" w:cs="Calibri"/>
                <w:color w:val="000000"/>
                <w:lang w:val="ro-RO"/>
              </w:rPr>
              <w:t>3.7741</w:t>
            </w:r>
          </w:p>
        </w:tc>
      </w:tr>
    </w:tbl>
    <w:p w14:paraId="03C0CDC2" w14:textId="1A147F04" w:rsidR="007F733D" w:rsidRDefault="007F733D" w:rsidP="00D01046">
      <w:pPr>
        <w:rPr>
          <w:lang w:val="ro-RO"/>
        </w:rPr>
      </w:pPr>
    </w:p>
    <w:p w14:paraId="1F597061" w14:textId="00553DE9" w:rsidR="00702B0E" w:rsidRPr="007F733D" w:rsidRDefault="00702B0E" w:rsidP="00D01046">
      <w:pPr>
        <w:rPr>
          <w:lang w:val="ro-RO"/>
        </w:rPr>
      </w:pPr>
      <w:r>
        <w:rPr>
          <w:lang w:val="ro-RO"/>
        </w:rPr>
        <w:t>Nota. In anexa se găsește</w:t>
      </w:r>
      <w:bookmarkStart w:id="0" w:name="_GoBack"/>
      <w:bookmarkEnd w:id="0"/>
      <w:r>
        <w:rPr>
          <w:lang w:val="ro-RO"/>
        </w:rPr>
        <w:t xml:space="preserve"> analiza detaliata la nivel de semestru</w:t>
      </w:r>
    </w:p>
    <w:sectPr w:rsidR="00702B0E" w:rsidRPr="007F73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905C0"/>
    <w:multiLevelType w:val="hybridMultilevel"/>
    <w:tmpl w:val="6D6E9D1A"/>
    <w:lvl w:ilvl="0" w:tplc="69A69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D3"/>
    <w:rsid w:val="000203D3"/>
    <w:rsid w:val="001130AB"/>
    <w:rsid w:val="00221940"/>
    <w:rsid w:val="002526DB"/>
    <w:rsid w:val="004520C7"/>
    <w:rsid w:val="0047460E"/>
    <w:rsid w:val="00702B0E"/>
    <w:rsid w:val="00720C62"/>
    <w:rsid w:val="007F733D"/>
    <w:rsid w:val="00893388"/>
    <w:rsid w:val="00B27FB1"/>
    <w:rsid w:val="00D01046"/>
    <w:rsid w:val="00D56897"/>
    <w:rsid w:val="00E649D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DF774"/>
  <w15:chartTrackingRefBased/>
  <w15:docId w15:val="{2CA5621D-FBE7-4035-9A7E-DE370069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52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Teodor-Viorel Chelaru (23849)</dc:creator>
  <cp:keywords/>
  <dc:description/>
  <cp:lastModifiedBy>Teodor-Viorel Chelaru (23849)</cp:lastModifiedBy>
  <cp:revision>3</cp:revision>
  <dcterms:created xsi:type="dcterms:W3CDTF">2026-01-22T06:32:00Z</dcterms:created>
  <dcterms:modified xsi:type="dcterms:W3CDTF">2026-01-22T07:39:00Z</dcterms:modified>
</cp:coreProperties>
</file>